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 prihláške Kamily Urban do súťaže mladých vedeckých pracovníkov SAV</w:t>
      </w:r>
    </w:p>
    <w:p/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ÚVSK SAV, v. v. i. v 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 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 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per </w:t>
      </w:r>
      <w:proofErr w:type="spellStart"/>
      <w:r>
        <w:rPr>
          <w:rFonts w:eastAsia="Times New Roman"/>
          <w:color w:val="000000"/>
        </w:rPr>
        <w:t>rollam</w:t>
      </w:r>
      <w:proofErr w:type="spellEnd"/>
      <w:r>
        <w:rPr>
          <w:rFonts w:eastAsia="Times New Roman"/>
          <w:color w:val="000000"/>
        </w:rPr>
        <w:t xml:space="preserve"> prerokovala prihlášku </w:t>
      </w:r>
      <w:r>
        <w:rPr>
          <w:color w:val="000000"/>
        </w:rPr>
        <w:t>Mgr. Kamily Urban, PhD. do súťaže mladých vedeckých pracovníkov SAV. Dr. Urban sa hlasovania zdržala, vedecká rada v počte zvyšných 4 členov jednohlasne schválila jej prihlášku a priznala jej nasledovné podiely v prihlásených publikáciách:</w:t>
      </w:r>
    </w:p>
    <w:p>
      <w:pPr>
        <w:jc w:val="both"/>
        <w:rPr>
          <w:color w:val="000000"/>
        </w:rPr>
      </w:pPr>
      <w:r>
        <w:rPr>
          <w:color w:val="000000"/>
        </w:rPr>
        <w:t>ADCA</w:t>
      </w:r>
      <w:r>
        <w:rPr>
          <w:color w:val="000000"/>
        </w:rPr>
        <w:tab/>
      </w:r>
      <w:r>
        <w:rPr>
          <w:color w:val="000000"/>
        </w:rPr>
        <w:tab/>
        <w:t xml:space="preserve">URBAN, Marek - URBAN, Kamila  - NIETFELD, John L.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efect</w:t>
      </w:r>
      <w:proofErr w:type="spellEnd"/>
      <w:r>
        <w:rPr>
          <w:color w:val="000000"/>
        </w:rPr>
        <w:t xml:space="preserve"> of a </w:t>
      </w:r>
      <w:proofErr w:type="spellStart"/>
      <w:r>
        <w:rPr>
          <w:color w:val="000000"/>
        </w:rPr>
        <w:t>distributed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metacognitive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intervention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reading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comprehension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Metacognition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Learning</w:t>
      </w:r>
      <w:proofErr w:type="spellEnd"/>
      <w:r>
        <w:rPr>
          <w:color w:val="000000"/>
        </w:rPr>
        <w:t xml:space="preserve">, 2023, </w:t>
      </w:r>
      <w:proofErr w:type="spellStart"/>
      <w:r>
        <w:rPr>
          <w:color w:val="000000"/>
        </w:rPr>
        <w:t>vol</w:t>
      </w:r>
      <w:proofErr w:type="spellEnd"/>
      <w:r>
        <w:rPr>
          <w:color w:val="000000"/>
        </w:rPr>
        <w:t xml:space="preserve">. 18, </w:t>
      </w:r>
      <w:proofErr w:type="spellStart"/>
      <w:r>
        <w:rPr>
          <w:color w:val="000000"/>
        </w:rPr>
        <w:t>issue</w:t>
      </w:r>
      <w:proofErr w:type="spellEnd"/>
      <w:r>
        <w:rPr>
          <w:color w:val="000000"/>
        </w:rPr>
        <w:t xml:space="preserve"> 2, p. 405-424. (2022: 3.3 - IF, Q2 - JCR, 1.07 - SJR, Q1 - SJR). ISSN 1556-1623. Dostupné na: https://doi.org/10.1007/s11409-023-09334-1 </w:t>
      </w:r>
    </w:p>
    <w:p>
      <w:pPr>
        <w:jc w:val="both"/>
        <w:rPr>
          <w:color w:val="000000"/>
        </w:rPr>
      </w:pPr>
      <w:r>
        <w:rPr>
          <w:color w:val="000000"/>
        </w:rPr>
        <w:t>Podiel Dr. Urban 33%, podiel ÚVSK SAV, v. v. i. 33%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ABC </w:t>
      </w:r>
      <w:r>
        <w:rPr>
          <w:color w:val="000000"/>
        </w:rPr>
        <w:tab/>
      </w:r>
      <w:r>
        <w:rPr>
          <w:color w:val="000000"/>
        </w:rPr>
        <w:tab/>
        <w:t xml:space="preserve">URBAN, Kamila. Role of </w:t>
      </w:r>
      <w:proofErr w:type="spellStart"/>
      <w:r>
        <w:rPr>
          <w:color w:val="000000"/>
        </w:rPr>
        <w:t>Metacognition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Early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Literacy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Key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Literacy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Early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Childhood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. 1. vyd. - </w:t>
      </w:r>
      <w:proofErr w:type="spellStart"/>
      <w:r>
        <w:rPr>
          <w:color w:val="000000"/>
        </w:rPr>
        <w:t>Berlin</w:t>
      </w:r>
      <w:proofErr w:type="spellEnd"/>
      <w:r>
        <w:rPr>
          <w:color w:val="000000"/>
        </w:rPr>
        <w:t xml:space="preserve"> : Peter </w:t>
      </w:r>
      <w:proofErr w:type="spellStart"/>
      <w:r>
        <w:rPr>
          <w:color w:val="000000"/>
        </w:rPr>
        <w:t>Lang</w:t>
      </w:r>
      <w:proofErr w:type="spellEnd"/>
      <w:r>
        <w:rPr>
          <w:color w:val="000000"/>
        </w:rPr>
        <w:t xml:space="preserve">, 2023, </w:t>
      </w:r>
      <w:proofErr w:type="spellStart"/>
      <w:r>
        <w:rPr>
          <w:color w:val="000000"/>
        </w:rPr>
        <w:t>pp</w:t>
      </w:r>
      <w:proofErr w:type="spellEnd"/>
      <w:r>
        <w:rPr>
          <w:color w:val="000000"/>
        </w:rPr>
        <w:t>. 83-99. ISBN 978-3-631-88645-8. Dostupné na: https://doi.org/10.3726/b20261</w:t>
      </w:r>
    </w:p>
    <w:p>
      <w:pPr>
        <w:jc w:val="both"/>
        <w:rPr>
          <w:color w:val="000000"/>
        </w:rPr>
      </w:pPr>
      <w:r>
        <w:rPr>
          <w:color w:val="000000"/>
        </w:rPr>
        <w:t>Podiel Dr. Urban 100%, podiel ÚVSK SAV, v. v. i. 100%</w:t>
      </w:r>
    </w:p>
    <w:p>
      <w:pPr>
        <w:jc w:val="both"/>
        <w:rPr>
          <w:color w:val="000000"/>
        </w:rPr>
      </w:pPr>
      <w:r>
        <w:rPr>
          <w:color w:val="000000"/>
        </w:rPr>
        <w:t>BEE</w:t>
      </w:r>
      <w:r>
        <w:rPr>
          <w:color w:val="000000"/>
        </w:rPr>
        <w:tab/>
      </w:r>
      <w:r>
        <w:rPr>
          <w:color w:val="000000"/>
        </w:rPr>
        <w:tab/>
        <w:t xml:space="preserve">URBAN, Kamila. </w:t>
      </w:r>
      <w:proofErr w:type="spellStart"/>
      <w:r>
        <w:rPr>
          <w:color w:val="000000"/>
        </w:rPr>
        <w:t>Introduction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Importance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Literacy-rich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Classrooms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Key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Literacy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Early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Childhood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. - </w:t>
      </w:r>
      <w:proofErr w:type="spellStart"/>
      <w:r>
        <w:rPr>
          <w:color w:val="000000"/>
        </w:rPr>
        <w:t>Berlin</w:t>
      </w:r>
      <w:proofErr w:type="spellEnd"/>
      <w:r>
        <w:rPr>
          <w:color w:val="000000"/>
        </w:rPr>
        <w:t xml:space="preserve"> : Peter </w:t>
      </w:r>
      <w:proofErr w:type="spellStart"/>
      <w:r>
        <w:rPr>
          <w:color w:val="000000"/>
        </w:rPr>
        <w:t>Lang</w:t>
      </w:r>
      <w:proofErr w:type="spellEnd"/>
      <w:r>
        <w:rPr>
          <w:color w:val="000000"/>
        </w:rPr>
        <w:t>, 2023, s. 11-17. ISBN 978-3-631-88645-8. Dostupné na: https://doi.org/10.3726/b20261</w:t>
      </w:r>
    </w:p>
    <w:p>
      <w:pPr>
        <w:jc w:val="both"/>
        <w:rPr>
          <w:color w:val="000000"/>
        </w:rPr>
      </w:pPr>
      <w:r>
        <w:rPr>
          <w:color w:val="000000"/>
        </w:rPr>
        <w:t>Podiel Dr. Urban 100%, podiel ÚVSK SAV, v. v. i. 100%</w:t>
      </w:r>
    </w:p>
    <w:p/>
    <w:p>
      <w:r>
        <w:t>V Bratislave, 20</w:t>
      </w:r>
      <w:bookmarkStart w:id="0" w:name="_GoBack"/>
      <w:bookmarkEnd w:id="0"/>
      <w:r>
        <w:t>.2.2024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4</cp:revision>
  <cp:lastPrinted>2018-07-23T13:39:00Z</cp:lastPrinted>
  <dcterms:created xsi:type="dcterms:W3CDTF">2024-02-15T18:35:00Z</dcterms:created>
  <dcterms:modified xsi:type="dcterms:W3CDTF">2024-02-23T23:36:00Z</dcterms:modified>
</cp:coreProperties>
</file>